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《视唱练耳（一）</w:t>
      </w:r>
      <w:r>
        <w:rPr>
          <w:rStyle w:val="8"/>
          <w:rFonts w:ascii="黑体" w:hAnsi="黑体" w:eastAsia="黑体"/>
          <w:sz w:val="36"/>
          <w:szCs w:val="36"/>
        </w:rPr>
        <w:t>2</w:t>
      </w:r>
      <w:r>
        <w:rPr>
          <w:rStyle w:val="8"/>
          <w:rFonts w:hint="eastAsia" w:ascii="黑体" w:hAnsi="黑体" w:eastAsia="黑体"/>
          <w:sz w:val="36"/>
          <w:szCs w:val="36"/>
        </w:rPr>
        <w:t>》课程教学大纲</w:t>
      </w:r>
      <w:bookmarkEnd w:id="0"/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S</w:t>
            </w:r>
            <w:r>
              <w:rPr>
                <w:rFonts w:asciiTheme="minorEastAsia" w:hAnsiTheme="minorEastAsia" w:eastAsiaTheme="minorEastAsia"/>
                <w:szCs w:val="21"/>
              </w:rPr>
              <w:t>olfeggio II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MUSI1416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大类基础课程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张尧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20</w:t>
            </w:r>
            <w:r>
              <w:rPr>
                <w:rFonts w:cs="仿宋" w:asciiTheme="minorEastAsia" w:hAnsiTheme="minorEastAsia" w:eastAsiaTheme="minorEastAsia"/>
                <w:szCs w:val="21"/>
              </w:rPr>
              <w:t>21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《单声部视唱教程》上海音乐学院视唱练耳教研室编　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ascii="黑体" w:hAnsi="黑体" w:eastAsia="黑体" w:cs="宋体"/>
          <w:b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《视唱练耳（一）</w:t>
      </w: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》是面向师范生开设的一门大类基础课，是师范生音乐基本素养培养的基础课程，也是重要课程。该课程属于音乐理论课程群中的基础课。本课程重视师范生音乐学科核心素养的培养，掌握音乐学科的基本知识、基本原理和基本技能，理解音乐学科知识体系的基本方法；致力于师范生在教学实践中，运用和整合音乐学科知识，并能够清晰讲解音乐理论知识；培养师范生养成自主学习的良好习惯，并具有自我管理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通过音乐素养能力训练，使师范生具备音乐听觉与视唱能力，并能够较好应用与音乐实践与音乐教学中。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pStyle w:val="2"/>
        <w:spacing w:before="156" w:beforeLines="50" w:after="156" w:afterLines="50" w:line="36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培养学生的识读和视唱五线谱的能力、音乐听觉能力、多声思维能力和一定的音乐分析能力，提高音准、节奏、调式、调性等因素的灵敏度和阅读乐谱的能力，增强音乐的记忆能力。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（支撑毕业要求3-1）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>
      <w:pPr>
        <w:pStyle w:val="2"/>
        <w:spacing w:before="156" w:beforeLines="50" w:after="156" w:afterLines="50" w:line="36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在</w:t>
      </w:r>
      <w:r>
        <w:rPr>
          <w:rFonts w:hint="eastAsia" w:cs="仿宋" w:asciiTheme="minorEastAsia" w:hAnsiTheme="minorEastAsia" w:eastAsiaTheme="minorEastAsia"/>
          <w:snapToGrid w:val="0"/>
          <w:szCs w:val="21"/>
        </w:rPr>
        <w:t>教学过程中，训练与他人合作、协调的能力，提高学生的逻辑思维能力、想象力和创新力，</w:t>
      </w:r>
      <w:r>
        <w:rPr>
          <w:rFonts w:hint="eastAsia" w:cs="仿宋" w:asciiTheme="minorEastAsia" w:hAnsiTheme="minorEastAsia" w:eastAsiaTheme="minorEastAsia"/>
          <w:szCs w:val="21"/>
        </w:rPr>
        <w:t>提高自身音乐表演与音乐实践的综合能力，以</w:t>
      </w:r>
      <w:r>
        <w:rPr>
          <w:rFonts w:hint="eastAsia" w:cs="仿宋" w:asciiTheme="minorEastAsia" w:hAnsiTheme="minorEastAsia" w:eastAsiaTheme="minorEastAsia"/>
          <w:snapToGrid w:val="0"/>
          <w:szCs w:val="21"/>
        </w:rPr>
        <w:t>培养学生音乐教学能力。</w:t>
      </w:r>
      <w:r>
        <w:rPr>
          <w:rFonts w:hint="eastAsia" w:cs="仿宋" w:asciiTheme="minorEastAsia" w:hAnsiTheme="minorEastAsia" w:eastAsiaTheme="minorEastAsia"/>
          <w:snapToGrid w:val="0"/>
          <w:szCs w:val="21"/>
          <w:lang w:eastAsia="zh-CN"/>
        </w:rPr>
        <w:t>（支撑毕业要求3-3）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仿宋"/>
          <w:szCs w:val="21"/>
        </w:rPr>
      </w:pPr>
      <w:r>
        <w:rPr>
          <w:rFonts w:hint="eastAsia" w:hAnsi="宋体" w:cs="仿宋"/>
          <w:szCs w:val="21"/>
        </w:rPr>
        <w:t>具备自主学习能力，以及探究教学实践的能力。</w:t>
      </w:r>
      <w:r>
        <w:rPr>
          <w:rFonts w:hint="eastAsia" w:hAnsi="宋体" w:cs="仿宋"/>
          <w:szCs w:val="21"/>
          <w:lang w:eastAsia="zh-CN"/>
        </w:rPr>
        <w:t>（支撑毕业要求7-3）</w:t>
      </w:r>
      <w:bookmarkStart w:id="1" w:name="_GoBack"/>
      <w:bookmarkEnd w:id="1"/>
    </w:p>
    <w:p>
      <w:pPr>
        <w:widowControl/>
        <w:jc w:val="left"/>
        <w:rPr>
          <w:rFonts w:ascii="黑体" w:hAnsi="黑体" w:eastAsia="黑体" w:cs="宋体"/>
          <w:sz w:val="24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804"/>
        <w:gridCol w:w="2273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培养学生的识读和视唱五线谱的能力、音乐听觉能力、多声思维能力和一定的音乐分析能力，提高音准、节奏、调式、调性等因素的灵敏度和阅读乐谱的能力，增强音乐的记忆能力。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通过视唱学习与听辩学习，掌握音乐的表达能力与听觉能力。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【学科知识】</w:t>
            </w:r>
            <w:r>
              <w:rPr>
                <w:rStyle w:val="8"/>
                <w:rFonts w:hAnsi="宋体" w:cs="宋体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cs="仿宋" w:asciiTheme="minorEastAsia" w:hAnsiTheme="minorEastAsia" w:eastAsiaTheme="minorEastAsia"/>
                <w:snapToGrid w:val="0"/>
                <w:szCs w:val="21"/>
              </w:rPr>
              <w:t>教学过程中，训练与他人合作、协调的能力，提高学生的逻辑思维能力、想象力和创新力，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提高自身音乐表演与音乐实践的综合能力，以</w:t>
            </w:r>
            <w:r>
              <w:rPr>
                <w:rFonts w:hint="eastAsia" w:cs="仿宋" w:asciiTheme="minorEastAsia" w:hAnsiTheme="minorEastAsia" w:eastAsiaTheme="minorEastAsia"/>
                <w:snapToGrid w:val="0"/>
                <w:szCs w:val="21"/>
              </w:rPr>
              <w:t>培养学生音乐教学能力。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通过视唱、听辩训练，增强学生音乐学习能力与实践能力。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szCs w:val="21"/>
              </w:rPr>
              <w:t>【学科实践】</w:t>
            </w:r>
            <w:r>
              <w:rPr>
                <w:rStyle w:val="8"/>
                <w:rFonts w:hAnsi="宋体" w:cs="宋体"/>
                <w:szCs w:val="21"/>
              </w:rPr>
              <w:t>对学习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</w:t>
            </w:r>
            <w:r>
              <w:rPr>
                <w:rStyle w:val="8"/>
                <w:rFonts w:hAnsi="宋体" w:cs="宋体"/>
                <w:szCs w:val="21"/>
              </w:rPr>
              <w:t>相关知识有一定的了解，掌握音乐教学知识与策略，能够结合社会生活实践，有效开展音乐教学活动。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szCs w:val="21"/>
              </w:rPr>
            </w:pPr>
            <w:r>
              <w:rPr>
                <w:rFonts w:hint="eastAsia" w:hAnsi="宋体" w:cs="仿宋"/>
                <w:szCs w:val="21"/>
              </w:rPr>
              <w:t>具备自主学习能力，以及探究教学实践的能力。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掌握视唱与听辩的学习能力，并能够在教学实践中自主思考与探究。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color w:val="000000"/>
                <w:szCs w:val="21"/>
              </w:rPr>
              <w:t>7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color w:val="000000"/>
                <w:szCs w:val="21"/>
              </w:rPr>
              <w:t>【学会研究】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初步掌握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科学研究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的基本方法，能用以探究教育教学实践问题，具有撰写教育教学研究论文的基本能力。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第四章  两个升号调各调式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掌握两个升号调各调式的听觉与视唱能力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视唱：D自然大调、和声大调及旋律大调；b自然小调、和声小调及旋律小调；同D宫五声、七声民族调式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练耳：听音程、和弦、节奏、旋律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（1）讲授法：两个升号调各调式音阶特点、音程关系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通过讲授、训练等方法让学生具备两个升号调各调式听觉与视唱能力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第五章  两个降号调各调式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掌握两个降号调各调式的听觉与视唱能力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视唱：bB自然大调、和声大调及旋律大调；g自然小调、和声小调及旋律小调；同bB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练耳：听和弦、节奏、旋律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（1）讲授法：两个降号调各调式音阶特点、音程关系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通过讲授、训练等方法让学生具备两个降号调各调式听觉与视唱能力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第六章  三个升号调各调式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掌握三个升号调各调式的听觉与视唱能力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视唱：A自然大调、和声大调及旋律大调；#f自然小调、和声小调及旋律小调；同A宫五声、七声民族调式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练耳：听和弦、节奏、旋律   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（1）讲授法：三个升号调各调式音阶特点、音程关系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通过讲授、训练等方法让学生具备三个升号调各调式听觉与视唱能力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widowControl/>
        <w:ind w:firstLine="281" w:firstLineChars="1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第四章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两个升号调各调式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两个降号调各调式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第六章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三个升号调各调式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663"/>
        <w:gridCol w:w="2268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-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第四章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两个升号调各调式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和弦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-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两个降号调各调式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和弦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-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第六章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三个升号调各调式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10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和弦连接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16</w:t>
            </w: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-1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复习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1、选用教材</w:t>
      </w:r>
    </w:p>
    <w:p>
      <w:pPr>
        <w:shd w:val="clear" w:color="auto" w:fill="FFFFFF"/>
        <w:snapToGrid w:val="0"/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《单声部视唱教程》（上、下册）上海音乐学院视唱练耳教研室编　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2、主要参考书目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《二声部视唱教程》上海音乐学院视唱练耳教研室编　上海音乐出版社</w:t>
      </w:r>
    </w:p>
    <w:p>
      <w:pPr>
        <w:widowControl/>
        <w:spacing w:before="156" w:beforeLines="50" w:after="156" w:afterLines="5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</w:p>
    <w:p>
      <w:pPr>
        <w:widowControl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（1）讲授法：通过讲授本课程基本概念，帮助学生掌握基本知识，进行有效训练。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（2）训练法：通过训练使学生具备音乐听觉能力、视唱能力以及增强音乐分析能力与记忆能力。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（3）课堂模拟法：通过课堂模拟提高音乐素养能力以及教学能力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 w:cs="宋体"/>
              </w:rPr>
              <w:t>音乐的表达能力与听辩能力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 w:cs="宋体"/>
              </w:rPr>
              <w:t>视唱的与听辩实践的能力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ascii="黑体" w:hAnsi="宋体"/>
                <w:szCs w:val="21"/>
              </w:rPr>
              <w:t>音乐的思辨能力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（1）平时成绩：30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平时成绩（教师评价）：占 30 %，其中课堂表现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%（含出勤考核），课后作业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%。 </w:t>
      </w:r>
    </w:p>
    <w:p>
      <w:pPr>
        <w:spacing w:line="360" w:lineRule="auto"/>
        <w:ind w:left="42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（2）期中考试：30  %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期中考试（教师评价）：占 30 % 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（3）期末考试：40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cs="仿宋" w:asciiTheme="minorEastAsia" w:hAnsiTheme="minorEastAsia" w:eastAsiaTheme="minorEastAsia"/>
          <w:szCs w:val="21"/>
        </w:rPr>
        <w:t>期末考试（教师评价）：占 40 %，以闭卷方式进行。</w:t>
      </w:r>
    </w:p>
    <w:p>
      <w:pPr>
        <w:widowControl/>
        <w:spacing w:before="156" w:beforeLines="50" w:after="156" w:afterLines="5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hint="eastAsia" w:ascii="宋体" w:hAnsi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p>
      <w:pPr>
        <w:widowControl/>
        <w:jc w:val="left"/>
        <w:rPr>
          <w:rFonts w:ascii="黑体" w:hAnsi="黑体" w:eastAsia="黑体"/>
          <w:b/>
          <w:sz w:val="24"/>
        </w:rPr>
      </w:pP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980"/>
        <w:gridCol w:w="1642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能够非常完整、正确听辩音程、节奏、旋律；视唱音准、节奏、非常流畅与完整、音乐表现优秀。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能够完整、正确听辩音程、节奏、旋律；视唱音准、节奏、流畅与完整、音乐表现优良。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能够基本完整、正确听辩音程、节奏、旋律；视唱音准、节奏、一般流畅与完整、音乐表现一般。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能够部分完整、正确听辩音程、节奏、旋律；视唱音准、节奏、不够流畅与完整、音乐表现不好。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不能够完整、正确听辩音程、和弦、节奏、旋律；视唱音准、节奏不正确，无调内感。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能够很好具备综合音乐素质能力。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能够具备综合音乐素质能力。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能够基本具备综合音乐素质能力。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综合音乐素质能力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不足够好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不能够具备综合音乐素质能力。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有较强的自主学习能力。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有很好的自主学习能力。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基本具有自主学习能力。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自主学习的能力不足够好。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不具有自主学习能力。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</w:rPr>
    </w:pPr>
    <w:r>
      <w:rPr>
        <w:rFonts w:ascii="Times New Roman" w:hAnsi="Times New Roman"/>
        <w:lang w:val="zh-CN"/>
      </w:rPr>
      <w:t xml:space="preserve"> </w:t>
    </w:r>
    <w:r>
      <w:rPr>
        <w:rFonts w:ascii="Times New Roman" w:hAnsi="Times New Roman"/>
        <w:b/>
        <w:sz w:val="24"/>
        <w:szCs w:val="24"/>
      </w:rPr>
      <w:fldChar w:fldCharType="begin"/>
    </w:r>
    <w:r>
      <w:rPr>
        <w:rFonts w:ascii="Times New Roman" w:hAnsi="Times New Roman"/>
        <w:b/>
      </w:rPr>
      <w:instrText xml:space="preserve">PAGE</w:instrText>
    </w:r>
    <w:r>
      <w:rPr>
        <w:rFonts w:ascii="Times New Roman" w:hAnsi="Times New Roman"/>
        <w:b/>
        <w:sz w:val="24"/>
        <w:szCs w:val="24"/>
      </w:rPr>
      <w:fldChar w:fldCharType="separate"/>
    </w:r>
    <w:r>
      <w:rPr>
        <w:rFonts w:ascii="Times New Roman" w:hAnsi="Times New Roman"/>
        <w:b/>
      </w:rPr>
      <w:t>12</w:t>
    </w:r>
    <w:r>
      <w:rPr>
        <w:rFonts w:ascii="Times New Roman" w:hAnsi="Times New Roman"/>
        <w:b/>
        <w:sz w:val="24"/>
        <w:szCs w:val="24"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  <w:sz w:val="24"/>
        <w:szCs w:val="24"/>
      </w:rPr>
      <w:fldChar w:fldCharType="begin"/>
    </w:r>
    <w:r>
      <w:rPr>
        <w:rFonts w:ascii="Times New Roman" w:hAnsi="Times New Roman"/>
        <w:b/>
      </w:rPr>
      <w:instrText xml:space="preserve">NUMPAGES</w:instrText>
    </w:r>
    <w:r>
      <w:rPr>
        <w:rFonts w:ascii="Times New Roman" w:hAnsi="Times New Roman"/>
        <w:b/>
        <w:sz w:val="24"/>
        <w:szCs w:val="24"/>
      </w:rPr>
      <w:fldChar w:fldCharType="separate"/>
    </w:r>
    <w:r>
      <w:rPr>
        <w:rFonts w:ascii="Times New Roman" w:hAnsi="Times New Roman"/>
        <w:b/>
      </w:rPr>
      <w:t>13</w:t>
    </w:r>
    <w:r>
      <w:rPr>
        <w:rFonts w:ascii="Times New Roman" w:hAnsi="Times New Roman"/>
        <w:b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pict>
        <v:shape id="_x0000_i1025" o:spt="75" alt="48b415d3a9d481a054184d94c912542" type="#_x0000_t75" style="height:51pt;width:57.75pt;" filled="f" o:preferrelative="t" stroked="f" coordsize="21600,21600">
          <v:path/>
          <v:fill on="f" focussize="0,0"/>
          <v:stroke on="f" joinstyle="miter"/>
          <v:imagedata r:id="rId1" o:title="48b415d3a9d481a054184d94c912542"/>
          <o:lock v:ext="edit" aspectratio="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  <w:style w:type="character" w:customStyle="1" w:styleId="9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532</Words>
  <Characters>3036</Characters>
  <Lines>25</Lines>
  <Paragraphs>7</Paragraphs>
  <TotalTime>0</TotalTime>
  <ScaleCrop>false</ScaleCrop>
  <LinksUpToDate>false</LinksUpToDate>
  <CharactersWithSpaces>3561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2021-06-12T17:12:00Z</dcterms:created>
  <dc:creator>WHD</dc:creator>
  <cp:lastModifiedBy>iPad</cp:lastModifiedBy>
  <dcterms:modified xsi:type="dcterms:W3CDTF">2021-09-25T15:45:19Z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